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80" w:leftChars="-25" w:right="-80" w:rightChars="-25"/>
        <w:jc w:val="center"/>
        <w:textAlignment w:val="auto"/>
        <w:rPr>
          <w:rFonts w:hint="default" w:ascii="Times New Roman" w:hAnsi="Times New Roman" w:eastAsia="方正小标宋简体" w:cs="Times New Roman"/>
          <w:b w:val="0"/>
          <w:bCs w:val="0"/>
          <w:color w:val="000000"/>
          <w:spacing w:val="-20"/>
          <w:kern w:val="21"/>
          <w:sz w:val="44"/>
          <w:szCs w:val="44"/>
          <w:lang w:eastAsia="zh-CN"/>
        </w:rPr>
      </w:pPr>
      <w:bookmarkStart w:id="0" w:name="_GoBack"/>
      <w:r>
        <w:rPr>
          <w:rFonts w:hint="default" w:ascii="Times New Roman" w:hAnsi="Times New Roman" w:cs="Times New Roman"/>
          <w:sz w:val="20"/>
        </w:rPr>
        <w:pict>
          <v:shape id="_x0000_s1027" o:spid="_x0000_s1027" o:spt="136" type="#_x0000_t136" style="position:absolute;left:0pt;margin-left:18.3pt;margin-top:7.1pt;height:66.15pt;width:409.3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黄山市就业工作领导小组办公室文件" style="font-family:方正小标宋_GBK;font-size:36pt;v-text-align:center;"/>
          </v:shape>
        </w:pict>
      </w:r>
    </w:p>
    <w:p>
      <w:pPr>
        <w:pStyle w:val="2"/>
        <w:rPr>
          <w:rFonts w:hint="default" w:ascii="Times New Roman" w:hAnsi="Times New Roman" w:eastAsia="方正小标宋简体" w:cs="Times New Roman"/>
          <w:b w:val="0"/>
          <w:bCs w:val="0"/>
          <w:color w:val="000000"/>
          <w:spacing w:val="-20"/>
          <w:kern w:val="21"/>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小标宋简体" w:cs="Times New Roman"/>
          <w:b w:val="0"/>
          <w:bCs w:val="0"/>
          <w:color w:val="000000"/>
          <w:spacing w:val="-20"/>
          <w:kern w:val="21"/>
          <w:sz w:val="44"/>
          <w:szCs w:val="44"/>
          <w:lang w:eastAsia="zh-CN"/>
        </w:rPr>
      </w:pPr>
    </w:p>
    <w:tbl>
      <w:tblPr>
        <w:tblStyle w:val="7"/>
        <w:tblW w:w="9008" w:type="dxa"/>
        <w:tblInd w:w="5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315" w:hRule="atLeast"/>
        </w:trPr>
        <w:tc>
          <w:tcPr>
            <w:tcW w:w="9008" w:type="dxa"/>
            <w:shd w:val="clear" w:color="auto" w:fill="FFFFFF"/>
            <w:noWrap w:val="0"/>
            <w:vAlign w:val="top"/>
          </w:tcPr>
          <w:p>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黄就办〔</w:t>
            </w:r>
            <w:r>
              <w:rPr>
                <w:rFonts w:hint="default" w:ascii="Times New Roman" w:hAnsi="Times New Roman" w:cs="Times New Roman"/>
                <w:lang w:eastAsia="zh-CN"/>
              </w:rPr>
              <w:t>202</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号</w:t>
            </w:r>
          </w:p>
        </w:tc>
      </w:tr>
    </w:tbl>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rPr>
      </w:pPr>
      <w:r>
        <w:rPr>
          <w:rFonts w:hint="default" w:ascii="Times New Roman" w:hAnsi="Times New Roman" w:cs="Times New Roman"/>
          <w:sz w:val="140"/>
        </w:rPr>
        <mc:AlternateContent>
          <mc:Choice Requires="wps">
            <w:drawing>
              <wp:anchor distT="0" distB="0" distL="114300" distR="114300" simplePos="0" relativeHeight="251661312" behindDoc="0" locked="0" layoutInCell="1" allowOverlap="1">
                <wp:simplePos x="0" y="0"/>
                <wp:positionH relativeFrom="column">
                  <wp:posOffset>-84455</wp:posOffset>
                </wp:positionH>
                <wp:positionV relativeFrom="paragraph">
                  <wp:posOffset>146685</wp:posOffset>
                </wp:positionV>
                <wp:extent cx="5905500" cy="635"/>
                <wp:effectExtent l="0" t="13970" r="7620" b="15875"/>
                <wp:wrapNone/>
                <wp:docPr id="2" name="直接连接符 2"/>
                <wp:cNvGraphicFramePr/>
                <a:graphic xmlns:a="http://schemas.openxmlformats.org/drawingml/2006/main">
                  <a:graphicData uri="http://schemas.microsoft.com/office/word/2010/wordprocessingShape">
                    <wps:wsp>
                      <wps:cNvCnPr/>
                      <wps:spPr>
                        <a:xfrm>
                          <a:off x="0" y="0"/>
                          <a:ext cx="5905500" cy="635"/>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6.65pt;margin-top:11.55pt;height:0.05pt;width:465pt;z-index:251661312;mso-width-relative:page;mso-height-relative:page;" filled="f" stroked="t" coordsize="21600,21600" o:gfxdata="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kB4d2AAAAAkBAAAPAAAAAAAAAAEAIAAAACIAAABkcnMvZG93bnJl&#10;di54bWxQSwECFAAUAAAACACHTuJAj8nk5f0BAADxAwAADgAAAAAAAAABACAAAAAnAQAAZHJzL2Uy&#10;b0RvYy54bWxQSwUGAAAAAAYABgBZAQAAlgUAAAAA&#10;">
                <v:fill on="f" focussize="0,0"/>
                <v:stroke weight="2.25pt" color="#FF0000" joinstyle="round"/>
                <v:imagedata o:title=""/>
                <o:lock v:ext="edit" aspectratio="f"/>
              </v:line>
            </w:pict>
          </mc:Fallback>
        </mc:AlternateContent>
      </w:r>
    </w:p>
    <w:p>
      <w:pPr>
        <w:pStyle w:val="2"/>
        <w:keepNext w:val="0"/>
        <w:keepLines w:val="0"/>
        <w:pageBreakBefore w:val="0"/>
        <w:widowControl w:val="0"/>
        <w:kinsoku/>
        <w:wordWrap/>
        <w:overflowPunct/>
        <w:topLinePunct w:val="0"/>
        <w:autoSpaceDN/>
        <w:bidi w:val="0"/>
        <w:snapToGrid w:val="0"/>
        <w:spacing w:after="0" w:line="540" w:lineRule="exact"/>
        <w:textAlignment w:val="auto"/>
        <w:rPr>
          <w:rFonts w:hint="default" w:ascii="Times New Roman" w:hAnsi="Times New Roman" w:eastAsia="方正小标宋简体" w:cs="Times New Roman"/>
          <w:b w:val="0"/>
          <w:bCs w:val="0"/>
          <w:color w:val="000000"/>
          <w:spacing w:val="-20"/>
          <w:kern w:val="21"/>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80" w:leftChars="-25" w:right="-80" w:rightChars="-25"/>
        <w:jc w:val="center"/>
        <w:textAlignment w:val="auto"/>
        <w:rPr>
          <w:rFonts w:hint="default" w:ascii="Times New Roman" w:hAnsi="Times New Roman" w:eastAsia="方正小标宋_GBK" w:cs="Times New Roman"/>
          <w:b w:val="0"/>
          <w:bCs w:val="0"/>
          <w:color w:val="000000"/>
          <w:spacing w:val="0"/>
          <w:kern w:val="21"/>
          <w:sz w:val="44"/>
          <w:szCs w:val="44"/>
          <w:lang w:eastAsia="zh-CN"/>
        </w:rPr>
      </w:pPr>
      <w:r>
        <w:rPr>
          <w:rFonts w:hint="default" w:ascii="Times New Roman" w:hAnsi="Times New Roman" w:eastAsia="方正小标宋_GBK" w:cs="Times New Roman"/>
          <w:b w:val="0"/>
          <w:bCs w:val="0"/>
          <w:color w:val="000000"/>
          <w:spacing w:val="0"/>
          <w:kern w:val="21"/>
          <w:sz w:val="44"/>
          <w:szCs w:val="44"/>
          <w:lang w:eastAsia="zh-CN"/>
        </w:rPr>
        <w:t>关于印发《安徽皖南旅游人才市场</w:t>
      </w:r>
    </w:p>
    <w:p>
      <w:pPr>
        <w:keepNext w:val="0"/>
        <w:keepLines w:val="0"/>
        <w:pageBreakBefore w:val="0"/>
        <w:widowControl w:val="0"/>
        <w:kinsoku/>
        <w:wordWrap/>
        <w:overflowPunct/>
        <w:topLinePunct w:val="0"/>
        <w:autoSpaceDE/>
        <w:autoSpaceDN/>
        <w:bidi w:val="0"/>
        <w:adjustRightInd/>
        <w:snapToGrid w:val="0"/>
        <w:spacing w:line="560" w:lineRule="exact"/>
        <w:ind w:left="-80" w:leftChars="-25" w:right="-80" w:rightChars="-25"/>
        <w:jc w:val="center"/>
        <w:textAlignment w:val="auto"/>
        <w:rPr>
          <w:rFonts w:hint="default" w:ascii="Times New Roman" w:hAnsi="Times New Roman" w:eastAsia="方正小标宋_GBK" w:cs="Times New Roman"/>
          <w:color w:val="000000"/>
          <w:spacing w:val="0"/>
          <w:kern w:val="21"/>
          <w:sz w:val="44"/>
          <w:szCs w:val="44"/>
          <w:lang w:eastAsia="zh-CN"/>
        </w:rPr>
      </w:pPr>
      <w:r>
        <w:rPr>
          <w:rFonts w:hint="default" w:ascii="Times New Roman" w:hAnsi="Times New Roman" w:eastAsia="方正小标宋_GBK" w:cs="Times New Roman"/>
          <w:b w:val="0"/>
          <w:bCs w:val="0"/>
          <w:color w:val="000000"/>
          <w:spacing w:val="0"/>
          <w:kern w:val="21"/>
          <w:sz w:val="44"/>
          <w:szCs w:val="44"/>
          <w:lang w:eastAsia="zh-CN"/>
        </w:rPr>
        <w:t>提升方案》的通知</w:t>
      </w:r>
    </w:p>
    <w:p>
      <w:pPr>
        <w:pStyle w:val="2"/>
        <w:keepNext w:val="0"/>
        <w:keepLines w:val="0"/>
        <w:pageBreakBefore w:val="0"/>
        <w:widowControl w:val="0"/>
        <w:kinsoku/>
        <w:wordWrap/>
        <w:overflowPunct/>
        <w:topLinePunct w:val="0"/>
        <w:autoSpaceDE w:val="0"/>
        <w:autoSpaceDN/>
        <w:bidi w:val="0"/>
        <w:adjustRightInd w:val="0"/>
        <w:snapToGrid w:val="0"/>
        <w:spacing w:after="0" w:line="560" w:lineRule="exact"/>
        <w:ind w:left="0" w:leftChars="0" w:right="0" w:rightChars="0" w:firstLine="0" w:firstLineChars="0"/>
        <w:textAlignment w:val="auto"/>
        <w:rPr>
          <w:rFonts w:hint="default" w:ascii="Times New Roman" w:hAnsi="Times New Roman" w:eastAsia="仿宋" w:cs="Times New Roman"/>
          <w:color w:val="000000"/>
          <w:spacing w:val="0"/>
          <w:kern w:val="21"/>
          <w:szCs w:val="32"/>
        </w:rPr>
      </w:pPr>
    </w:p>
    <w:p>
      <w:pPr>
        <w:pStyle w:val="2"/>
        <w:keepNext w:val="0"/>
        <w:keepLines w:val="0"/>
        <w:pageBreakBefore w:val="0"/>
        <w:widowControl w:val="0"/>
        <w:kinsoku/>
        <w:wordWrap/>
        <w:overflowPunct/>
        <w:topLinePunct w:val="0"/>
        <w:autoSpaceDE w:val="0"/>
        <w:autoSpaceDN/>
        <w:bidi w:val="0"/>
        <w:adjustRightInd w:val="0"/>
        <w:snapToGrid w:val="0"/>
        <w:spacing w:after="0" w:line="560" w:lineRule="exact"/>
        <w:ind w:left="0" w:leftChars="0" w:right="0" w:rightChars="0" w:firstLine="0" w:firstLineChars="0"/>
        <w:textAlignment w:val="auto"/>
        <w:rPr>
          <w:rFonts w:hint="default" w:ascii="Times New Roman" w:hAnsi="Times New Roman" w:eastAsia="仿宋_GB2312" w:cs="Times New Roman"/>
          <w:color w:val="000000"/>
          <w:spacing w:val="6"/>
          <w:kern w:val="21"/>
          <w:sz w:val="32"/>
          <w:szCs w:val="32"/>
          <w:lang w:eastAsia="zh-CN"/>
        </w:rPr>
      </w:pPr>
      <w:r>
        <w:rPr>
          <w:rFonts w:hint="default" w:ascii="Times New Roman" w:hAnsi="Times New Roman" w:eastAsia="仿宋_GB2312" w:cs="Times New Roman"/>
          <w:color w:val="000000"/>
          <w:spacing w:val="6"/>
          <w:kern w:val="21"/>
          <w:sz w:val="32"/>
          <w:szCs w:val="32"/>
          <w:lang w:eastAsia="zh-CN"/>
        </w:rPr>
        <w:t>各区县就业工作领导小组办公室，市直有关单位：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firstLineChars="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为贯彻落实安徽省人民政府办公厅《关于促进人力资源服务业高质量发展的若干政策措施》（皖政办秘〔2022〕63号）精神，根据黄山市人民政府办公室《关于印发黄山市促进人力资源服务业高质量发展的若干政策措施的通知》（黄政办〔2023〕17号）要求，特制定《安徽皖南旅游人才市场提升方案》。现印发给你们，请认真贯彻执行。</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snapToGrid w:val="0"/>
          <w:kern w:val="0"/>
          <w:sz w:val="32"/>
          <w:szCs w:val="32"/>
        </w:rPr>
      </w:pPr>
    </w:p>
    <w:p>
      <w:pPr>
        <w:pStyle w:val="2"/>
        <w:keepNext w:val="0"/>
        <w:keepLines w:val="0"/>
        <w:pageBreakBefore w:val="0"/>
        <w:widowControl w:val="0"/>
        <w:kinsoku/>
        <w:wordWrap/>
        <w:overflowPunct/>
        <w:topLinePunct w:val="0"/>
        <w:autoSpaceDE w:val="0"/>
        <w:autoSpaceDN/>
        <w:bidi w:val="0"/>
        <w:adjustRightInd w:val="0"/>
        <w:snapToGrid w:val="0"/>
        <w:spacing w:after="0" w:line="560" w:lineRule="exact"/>
        <w:ind w:left="0" w:leftChars="0" w:right="0" w:rightChars="0" w:firstLine="640" w:firstLineChars="200"/>
        <w:textAlignment w:val="auto"/>
        <w:rPr>
          <w:rFonts w:hint="default" w:ascii="Times New Roman" w:hAnsi="Times New Roman" w:eastAsia="仿宋_GB2312" w:cs="Times New Roman"/>
          <w:color w:val="000000"/>
          <w:kern w:val="21"/>
          <w:sz w:val="32"/>
          <w:szCs w:val="32"/>
          <w:lang w:val="en-US" w:eastAsia="zh-CN"/>
        </w:rPr>
      </w:pPr>
      <w:r>
        <w:rPr>
          <w:rFonts w:hint="default" w:ascii="Times New Roman" w:hAnsi="Times New Roman" w:cs="Times New Roman"/>
          <w:color w:val="000000"/>
          <w:kern w:val="21"/>
          <w:sz w:val="32"/>
          <w:szCs w:val="32"/>
          <w:lang w:val="en-US" w:eastAsia="zh-CN"/>
        </w:rPr>
        <w:t xml:space="preserve"> </w:t>
      </w:r>
    </w:p>
    <w:p>
      <w:pPr>
        <w:pStyle w:val="2"/>
        <w:keepNext w:val="0"/>
        <w:keepLines w:val="0"/>
        <w:pageBreakBefore w:val="0"/>
        <w:widowControl w:val="0"/>
        <w:kinsoku/>
        <w:wordWrap/>
        <w:overflowPunct/>
        <w:topLinePunct w:val="0"/>
        <w:autoSpaceDE w:val="0"/>
        <w:autoSpaceDN/>
        <w:bidi w:val="0"/>
        <w:adjustRightInd w:val="0"/>
        <w:snapToGrid w:val="0"/>
        <w:spacing w:after="0" w:line="560" w:lineRule="exact"/>
        <w:ind w:left="0" w:leftChars="0" w:right="0" w:rightChars="0" w:firstLine="3840" w:firstLineChars="1200"/>
        <w:textAlignment w:val="auto"/>
        <w:rPr>
          <w:rFonts w:hint="default" w:ascii="Times New Roman" w:hAnsi="Times New Roman" w:eastAsia="仿宋_GB2312" w:cs="Times New Roman"/>
          <w:color w:val="000000"/>
          <w:kern w:val="21"/>
          <w:sz w:val="32"/>
          <w:szCs w:val="32"/>
          <w:lang w:eastAsia="zh-CN"/>
        </w:rPr>
      </w:pPr>
      <w:r>
        <w:rPr>
          <w:rFonts w:hint="default" w:ascii="Times New Roman" w:hAnsi="Times New Roman" w:eastAsia="仿宋_GB2312" w:cs="Times New Roman"/>
          <w:color w:val="000000"/>
          <w:kern w:val="21"/>
          <w:sz w:val="32"/>
          <w:szCs w:val="32"/>
          <w:lang w:eastAsia="zh-CN"/>
        </w:rPr>
        <w:t>黄山市就业工作领导小组办公室</w:t>
      </w:r>
    </w:p>
    <w:p>
      <w:pPr>
        <w:pStyle w:val="2"/>
        <w:keepNext w:val="0"/>
        <w:keepLines w:val="0"/>
        <w:pageBreakBefore w:val="0"/>
        <w:widowControl w:val="0"/>
        <w:kinsoku/>
        <w:wordWrap/>
        <w:overflowPunct/>
        <w:topLinePunct w:val="0"/>
        <w:autoSpaceDE w:val="0"/>
        <w:autoSpaceDN/>
        <w:bidi w:val="0"/>
        <w:adjustRightInd w:val="0"/>
        <w:snapToGrid w:val="0"/>
        <w:spacing w:after="0" w:line="560" w:lineRule="exact"/>
        <w:ind w:left="0" w:leftChars="0" w:right="0" w:rightChars="0" w:firstLine="5120" w:firstLineChars="1600"/>
        <w:textAlignment w:val="auto"/>
        <w:rPr>
          <w:rFonts w:hint="default" w:ascii="Times New Roman" w:hAnsi="Times New Roman" w:eastAsia="仿宋_GB2312" w:cs="Times New Roman"/>
          <w:color w:val="000000"/>
          <w:kern w:val="21"/>
          <w:sz w:val="32"/>
          <w:szCs w:val="32"/>
          <w:lang w:val="en-US" w:eastAsia="zh-CN"/>
        </w:rPr>
      </w:pPr>
      <w:r>
        <w:rPr>
          <w:rFonts w:hint="default" w:ascii="Times New Roman" w:hAnsi="Times New Roman" w:eastAsia="仿宋_GB2312" w:cs="Times New Roman"/>
          <w:color w:val="000000"/>
          <w:kern w:val="21"/>
          <w:sz w:val="32"/>
          <w:szCs w:val="32"/>
          <w:lang w:val="en-US" w:eastAsia="zh-CN"/>
        </w:rPr>
        <w:t>202</w:t>
      </w:r>
      <w:r>
        <w:rPr>
          <w:rFonts w:hint="default" w:ascii="Times New Roman" w:hAnsi="Times New Roman" w:cs="Times New Roman"/>
          <w:color w:val="000000"/>
          <w:kern w:val="21"/>
          <w:sz w:val="32"/>
          <w:szCs w:val="32"/>
          <w:lang w:val="en-US" w:eastAsia="zh-CN"/>
        </w:rPr>
        <w:t>3</w:t>
      </w:r>
      <w:r>
        <w:rPr>
          <w:rFonts w:hint="default" w:ascii="Times New Roman" w:hAnsi="Times New Roman" w:eastAsia="仿宋_GB2312" w:cs="Times New Roman"/>
          <w:color w:val="000000"/>
          <w:kern w:val="21"/>
          <w:sz w:val="32"/>
          <w:szCs w:val="32"/>
          <w:lang w:val="en-US" w:eastAsia="zh-CN"/>
        </w:rPr>
        <w:t>年</w:t>
      </w:r>
      <w:r>
        <w:rPr>
          <w:rFonts w:hint="default" w:ascii="Times New Roman" w:hAnsi="Times New Roman" w:cs="Times New Roman"/>
          <w:color w:val="000000"/>
          <w:kern w:val="21"/>
          <w:sz w:val="32"/>
          <w:szCs w:val="32"/>
          <w:lang w:val="en-US" w:eastAsia="zh-CN"/>
        </w:rPr>
        <w:t>9</w:t>
      </w:r>
      <w:r>
        <w:rPr>
          <w:rFonts w:hint="default" w:ascii="Times New Roman" w:hAnsi="Times New Roman" w:eastAsia="仿宋_GB2312" w:cs="Times New Roman"/>
          <w:color w:val="000000"/>
          <w:kern w:val="21"/>
          <w:sz w:val="32"/>
          <w:szCs w:val="32"/>
          <w:lang w:val="en-US" w:eastAsia="zh-CN"/>
        </w:rPr>
        <w:t>月</w:t>
      </w:r>
      <w:r>
        <w:rPr>
          <w:rFonts w:hint="default" w:ascii="Times New Roman" w:hAnsi="Times New Roman" w:cs="Times New Roman"/>
          <w:color w:val="000000"/>
          <w:kern w:val="21"/>
          <w:sz w:val="32"/>
          <w:szCs w:val="32"/>
          <w:lang w:val="en-US" w:eastAsia="zh-CN"/>
        </w:rPr>
        <w:t>13</w:t>
      </w:r>
      <w:r>
        <w:rPr>
          <w:rFonts w:hint="default" w:ascii="Times New Roman" w:hAnsi="Times New Roman" w:eastAsia="仿宋_GB2312" w:cs="Times New Roman"/>
          <w:color w:val="000000"/>
          <w:kern w:val="21"/>
          <w:sz w:val="32"/>
          <w:szCs w:val="32"/>
          <w:lang w:val="en-US" w:eastAsia="zh-CN"/>
        </w:rPr>
        <w:t>日</w:t>
      </w:r>
    </w:p>
    <w:p>
      <w:pPr>
        <w:pStyle w:val="2"/>
        <w:keepNext w:val="0"/>
        <w:keepLines w:val="0"/>
        <w:pageBreakBefore w:val="0"/>
        <w:widowControl w:val="0"/>
        <w:kinsoku/>
        <w:wordWrap/>
        <w:overflowPunct/>
        <w:topLinePunct w:val="0"/>
        <w:autoSpaceDE w:val="0"/>
        <w:autoSpaceDN/>
        <w:bidi w:val="0"/>
        <w:adjustRightInd w:val="0"/>
        <w:snapToGrid w:val="0"/>
        <w:spacing w:after="0" w:line="560" w:lineRule="exact"/>
        <w:ind w:left="0" w:leftChars="0" w:right="0" w:rightChars="0" w:firstLine="560" w:firstLineChars="175"/>
        <w:jc w:val="left"/>
        <w:textAlignment w:val="auto"/>
        <w:rPr>
          <w:rFonts w:hint="default" w:ascii="Times New Roman" w:hAnsi="Times New Roman" w:cs="Times New Roman"/>
          <w:color w:val="000000"/>
          <w:kern w:val="21"/>
          <w:sz w:val="32"/>
          <w:szCs w:val="32"/>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formProt w:val="1"/>
          <w:docGrid w:type="lines" w:linePitch="312" w:charSpace="0"/>
        </w:sectPr>
      </w:pPr>
      <w:r>
        <w:rPr>
          <w:rFonts w:hint="default" w:ascii="Times New Roman" w:hAnsi="Times New Roman" w:cs="Times New Roman"/>
          <w:color w:val="000000"/>
          <w:kern w:val="21"/>
          <w:sz w:val="32"/>
          <w:szCs w:val="32"/>
          <w:lang w:val="en-US" w:eastAsia="zh-CN"/>
        </w:rPr>
        <w:t>（</w:t>
      </w:r>
      <w:r>
        <w:rPr>
          <w:rFonts w:hint="default" w:ascii="Times New Roman" w:hAnsi="Times New Roman" w:cs="Times New Roman"/>
          <w:color w:val="000000"/>
          <w:kern w:val="21"/>
          <w:sz w:val="32"/>
          <w:szCs w:val="32"/>
          <w:lang w:val="en-US" w:eastAsia="zh-CN"/>
        </w:rPr>
        <w:t>主动</w:t>
      </w:r>
      <w:r>
        <w:rPr>
          <w:rFonts w:hint="default" w:ascii="Times New Roman" w:hAnsi="Times New Roman" w:cs="Times New Roman"/>
          <w:color w:val="000000"/>
          <w:kern w:val="21"/>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安徽皖南旅游人才市场提升方案</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安徽皖南旅游人才市场是经省人力资源和社会保障厅批复设立的省级专业性、行业性人才（人力资源服务产业集聚）市场，也是全省唯一的旅游行业省级专业市场。为充分发挥安徽皖南旅游人才市场在资源配置中的决定性作用，制定本方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一、指导思想</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坚持以习近平新时代中国特色社会主义思想为指导，全面贯彻落实党的二十大精神，按照《安徽省人力资源服务产业园管理办法（试行）》（皖人社发〔2020〕15号）要求，充分发挥安徽皖南旅游人才市场“特色、专业、示范、服务”功能，更好的为我市人力资源服务行业和皖南地区旅游行业发展提供服务、增添动能，为全力打造“大黄山”生态型国际化世界级休闲度假旅游目的地、高品质建设皖南国际文化旅游示范区提供强有力的人力资源支撑。</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二、发展目标</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以政府引导、市场主导、产业协同、融合发展为理念，通过市场化运营，进一步健全完善我市人力资源服务产业体系，为皖南地区旅游行业发展和我市经济社会发展配置旅游人才资源，努力打造立足皖南片区、辐射长三角、面向全国的旅游人才集散地，力争建成功能突出、效益显著、独具特色、示范引领的区域性旅游人才市场，实现旅游人才市场、旅游经济产业的“双促进”和共同发展。</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——行业规模不断扩大。</w:t>
      </w:r>
      <w:r>
        <w:rPr>
          <w:rFonts w:hint="default" w:ascii="Times New Roman" w:hAnsi="Times New Roman" w:eastAsia="仿宋_GB2312" w:cs="Times New Roman"/>
          <w:color w:val="auto"/>
          <w:sz w:val="32"/>
          <w:szCs w:val="32"/>
          <w:highlight w:val="none"/>
          <w:u w:val="none"/>
          <w:lang w:val="en-US" w:eastAsia="zh-CN"/>
        </w:rPr>
        <w:t>引进省内外知名人力资源服务机构入驻安徽皖南旅游人才市场，计划第一年引进5家人力资源机构，实现市场内机构年总产值4000万元；第二年累计引进企业10家，实现市场内机构累计年总产值8000万元；第三年累计引进企业15家，实现市场内机构累计年总产值1.2亿元。到2025年，培育一批达规纳统的人力资源服务机构和4A、5A级人力资源服务机构。</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——旅游产业蓬勃发展。</w:t>
      </w:r>
      <w:r>
        <w:rPr>
          <w:rFonts w:hint="default" w:ascii="Times New Roman" w:hAnsi="Times New Roman" w:eastAsia="仿宋_GB2312" w:cs="Times New Roman"/>
          <w:color w:val="auto"/>
          <w:sz w:val="32"/>
          <w:szCs w:val="32"/>
          <w:highlight w:val="none"/>
          <w:u w:val="none"/>
          <w:lang w:val="en-US" w:eastAsia="zh-CN"/>
        </w:rPr>
        <w:t>运用市场机制，充分开发和利用我市旅游人才资源，打破行政区域限制，建立统一、开放、竞争的人才市场机制，以健全的服务功能、完善的服务手段，进一步促进旅游资源开发和旅游人才开发，打造高端旅游人才的培育基地、中国旅游人才的输送交流平台。</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——服务能力持续增强。</w:t>
      </w:r>
      <w:r>
        <w:rPr>
          <w:rFonts w:hint="default" w:ascii="Times New Roman" w:hAnsi="Times New Roman" w:eastAsia="仿宋_GB2312" w:cs="Times New Roman"/>
          <w:color w:val="auto"/>
          <w:sz w:val="32"/>
          <w:szCs w:val="32"/>
          <w:highlight w:val="none"/>
          <w:u w:val="none"/>
          <w:lang w:val="en-US" w:eastAsia="zh-CN"/>
        </w:rPr>
        <w:t>人力资源服务产品更优、质量更高。匹配人力资源供给与需求的效率更高。公共服务与经营性服务相</w:t>
      </w:r>
      <w:r>
        <w:rPr>
          <w:rFonts w:hint="default" w:ascii="Times New Roman" w:hAnsi="Times New Roman" w:eastAsia="仿宋_GB2312" w:cs="Times New Roman"/>
          <w:color w:val="auto"/>
          <w:spacing w:val="6"/>
          <w:sz w:val="32"/>
          <w:szCs w:val="32"/>
          <w:highlight w:val="none"/>
          <w:u w:val="none"/>
          <w:lang w:val="en-US" w:eastAsia="zh-CN"/>
        </w:rPr>
        <w:t>互补充、并行发展。行业整体竞争力和全球资源配置能力明显增强。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——发展水平显著提升。</w:t>
      </w:r>
      <w:r>
        <w:rPr>
          <w:rFonts w:hint="default" w:ascii="Times New Roman" w:hAnsi="Times New Roman" w:eastAsia="仿宋_GB2312" w:cs="Times New Roman"/>
          <w:color w:val="auto"/>
          <w:sz w:val="32"/>
          <w:szCs w:val="32"/>
          <w:highlight w:val="none"/>
          <w:u w:val="none"/>
          <w:lang w:val="en-US" w:eastAsia="zh-CN"/>
        </w:rPr>
        <w:t>人力资源服务专业化、标准化、规范化、数字化、国际化水平明显提升。功能完善、布局合理的行业发展格局基本形成。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三、提升举措</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（一）升级安徽皖南旅游人才市场功能</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1</w:t>
      </w:r>
      <w:r>
        <w:rPr>
          <w:rFonts w:hint="default" w:ascii="Times New Roman" w:hAnsi="Times New Roman" w:cs="Times New Roman"/>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整合运营市场各项业务。</w:t>
      </w:r>
      <w:r>
        <w:rPr>
          <w:rFonts w:hint="default" w:ascii="Times New Roman" w:hAnsi="Times New Roman" w:eastAsia="仿宋_GB2312" w:cs="Times New Roman"/>
          <w:color w:val="auto"/>
          <w:sz w:val="32"/>
          <w:szCs w:val="32"/>
          <w:highlight w:val="none"/>
          <w:u w:val="none"/>
          <w:lang w:val="en-US" w:eastAsia="zh-CN"/>
        </w:rPr>
        <w:t>通过政府购买服务方式，支持和鼓励经营性人力资源机构参与“2+N招聘会”“直播带岗”“黄山企业大学行”“企业招工定制服务”等重点工作。提升皖南旅游人才市场功能，依托专业人力资源服务机构常态化提供人力资源招聘、</w:t>
      </w:r>
      <w:r>
        <w:rPr>
          <w:rFonts w:hint="default" w:ascii="Times New Roman" w:hAnsi="Times New Roman" w:eastAsia="仿宋_GB2312" w:cs="Times New Roman"/>
          <w:b w:val="0"/>
          <w:bCs w:val="0"/>
          <w:color w:val="auto"/>
          <w:sz w:val="32"/>
          <w:szCs w:val="32"/>
          <w:highlight w:val="none"/>
          <w:lang w:val="en-US" w:eastAsia="zh-CN"/>
        </w:rPr>
        <w:t>大学生就业创业服务、</w:t>
      </w:r>
      <w:r>
        <w:rPr>
          <w:rFonts w:hint="default" w:ascii="Times New Roman" w:hAnsi="Times New Roman" w:eastAsia="仿宋_GB2312" w:cs="Times New Roman"/>
          <w:color w:val="auto"/>
          <w:sz w:val="32"/>
          <w:szCs w:val="32"/>
          <w:highlight w:val="none"/>
          <w:u w:val="none"/>
          <w:lang w:val="en-US" w:eastAsia="zh-CN"/>
        </w:rPr>
        <w:t>中高级人才猎聘、职业技能培训、企业咨询、职业技能等级认定、人力资源外包及劳务派遣、人才测评及就业指导、国际人才交流服务等日常服务，打造强IP的官方招聘就业平台等多元化人力资源服务。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2</w:t>
      </w:r>
      <w:r>
        <w:rPr>
          <w:rFonts w:hint="default" w:ascii="Times New Roman" w:hAnsi="Times New Roman" w:cs="Times New Roman"/>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改造完善市场功能区间。</w:t>
      </w:r>
      <w:r>
        <w:rPr>
          <w:rFonts w:hint="default" w:ascii="Times New Roman" w:hAnsi="Times New Roman" w:eastAsia="仿宋_GB2312" w:cs="Times New Roman"/>
          <w:color w:val="auto"/>
          <w:sz w:val="32"/>
          <w:szCs w:val="32"/>
          <w:highlight w:val="none"/>
          <w:u w:val="none"/>
          <w:lang w:val="en-US" w:eastAsia="zh-CN"/>
        </w:rPr>
        <w:t>科学分析安徽皖南旅游人才市场发展态势，合理规划布局，及时优化市场的硬件和设施。加强信息化建设，确保市场内公共服务区、企业办公区、招聘求职区、自助服务区、信息发布区、直播带岗区、会议室、培训室、视频面试间等各功能区间明晰完善，为企业和个人打造舒适温馨的服务环境，提供专业化、个性化、智能化、全方位的综合性服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3</w:t>
      </w:r>
      <w:r>
        <w:rPr>
          <w:rFonts w:hint="default" w:ascii="Times New Roman" w:hAnsi="Times New Roman" w:cs="Times New Roman"/>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持续深化企业用工服务。</w:t>
      </w:r>
      <w:r>
        <w:rPr>
          <w:rFonts w:hint="default" w:ascii="Times New Roman" w:hAnsi="Times New Roman" w:eastAsia="仿宋_GB2312" w:cs="Times New Roman"/>
          <w:color w:val="000000"/>
          <w:sz w:val="32"/>
          <w:szCs w:val="32"/>
          <w:lang w:val="en" w:eastAsia="zh-CN"/>
        </w:rPr>
        <w:t>结合“三级三方服务千企”工作，引导市场内人力资源服务机构主动对接我市新兴产业及重点企业，开展“组团式”“一条龙”“点对点”的用工保障服务，促进人才链、产业链、创新链、供应链深度融合。对市场内经营性人力资源服务机构为我市企业引进劳动力的，根据新签订12个月以上劳动合同的人员数量，由用工企业纳税所在地财政统筹资金按照每人300元的标准对机构、组织给予补助。</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（二）促进人力资源服务业发展</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4</w:t>
      </w:r>
      <w:r>
        <w:rPr>
          <w:rFonts w:hint="default" w:ascii="Times New Roman" w:hAnsi="Times New Roman" w:cs="Times New Roman"/>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培育壮大市场主体规模。</w:t>
      </w:r>
      <w:r>
        <w:rPr>
          <w:rFonts w:hint="default" w:ascii="Times New Roman" w:hAnsi="Times New Roman" w:eastAsia="仿宋_GB2312" w:cs="Times New Roman"/>
          <w:color w:val="auto"/>
          <w:sz w:val="32"/>
          <w:szCs w:val="32"/>
          <w:highlight w:val="none"/>
          <w:u w:val="none"/>
          <w:lang w:val="en-US" w:eastAsia="zh-CN"/>
        </w:rPr>
        <w:t>坚持政府引导、市场运作、科学规划、合理布局，发挥安徽皖南旅游人才市场集聚作用，引入培育一批有核心产品、成长性好、具有竞争力的我市骨干人力资源服务机构，引进一批省内外知名人力资源服务企业，吸收先进理念、项目、技术、标准和经营模式。引导皖南旅游人才市场内部人力资源服务机构找准定位，细分领域精耕细作，提高核心竞争力，完善全链条产业服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5</w:t>
      </w:r>
      <w:r>
        <w:rPr>
          <w:rFonts w:hint="default" w:ascii="Times New Roman" w:hAnsi="Times New Roman" w:cs="Times New Roman"/>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培训提升从业人员水平。</w:t>
      </w:r>
      <w:r>
        <w:rPr>
          <w:rFonts w:hint="default" w:ascii="Times New Roman" w:hAnsi="Times New Roman" w:eastAsia="仿宋_GB2312" w:cs="Times New Roman"/>
          <w:color w:val="auto"/>
          <w:sz w:val="32"/>
          <w:szCs w:val="32"/>
          <w:highlight w:val="none"/>
          <w:u w:val="none"/>
          <w:lang w:val="en-US" w:eastAsia="zh-CN"/>
        </w:rPr>
        <w:t>开展人力资源服务行业从业人员职业技能提升专项行动，着力培养一批视野开阔、能力卓越的行业领军人才，全面提升从业人员专业化、职业化和技能化水平，整体提高皖南旅游人才市场人力资源服务能力和服务质量。</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6</w:t>
      </w:r>
      <w:r>
        <w:rPr>
          <w:rFonts w:hint="default" w:ascii="Times New Roman" w:hAnsi="Times New Roman" w:cs="Times New Roman"/>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鼓励开展自主品牌建设。</w:t>
      </w:r>
      <w:r>
        <w:rPr>
          <w:rFonts w:hint="default" w:ascii="Times New Roman" w:hAnsi="Times New Roman" w:eastAsia="仿宋_GB2312" w:cs="Times New Roman"/>
          <w:color w:val="auto"/>
          <w:sz w:val="32"/>
          <w:szCs w:val="32"/>
          <w:highlight w:val="none"/>
          <w:u w:val="none"/>
          <w:lang w:val="en-US" w:eastAsia="zh-CN"/>
        </w:rPr>
        <w:t>大力支持市场内人力资源服务机构开展自主品牌建设，鼓励企业注册和使用自主的服务商标，引导人力资源服务机构加大品牌宣传推介力度，力争打造一批全国化、区域化和专业化的本土服务品牌。</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（三）明确旅游行业人才市场定位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7</w:t>
      </w:r>
      <w:r>
        <w:rPr>
          <w:rFonts w:hint="default" w:ascii="Times New Roman" w:hAnsi="Times New Roman" w:cs="Times New Roman"/>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充分发挥资源集聚作用。</w:t>
      </w:r>
      <w:r>
        <w:rPr>
          <w:rFonts w:hint="default" w:ascii="Times New Roman" w:hAnsi="Times New Roman" w:eastAsia="仿宋_GB2312" w:cs="Times New Roman"/>
          <w:color w:val="auto"/>
          <w:sz w:val="32"/>
          <w:szCs w:val="32"/>
          <w:highlight w:val="none"/>
          <w:u w:val="none"/>
          <w:lang w:val="en-US" w:eastAsia="zh-CN"/>
        </w:rPr>
        <w:t>立足“大黄山”和“烟雨徽州”两个顶流IP，依托皖南地区丰富的旅游资源，以市场为导向、以项目为载体、以品牌为标杆，利用“人才飞地”等引才途径，大力引进一批旅游产品开发企业，支持一批旅游人才创业，集聚一批有较大影响的旅游项目。积极对接黄山学院旅游学院、黄山职业技术学院旅游与建筑园林系、黄山旅游管理学校，探索与皖南地区设有旅游专业的高校、职业院校达成合作，通过建立校外实习实训基地、深化校企定制培养计划、设立安徽皖南旅游人才市场高校联络站等方式，集聚旅游行业人才，打造辐射皖南地区乃至全国的旅游人才输送平台。</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8</w:t>
      </w:r>
      <w:r>
        <w:rPr>
          <w:rFonts w:hint="default" w:ascii="Times New Roman" w:hAnsi="Times New Roman" w:cs="Times New Roman"/>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精准搭建人才对接平台。</w:t>
      </w:r>
      <w:r>
        <w:rPr>
          <w:rFonts w:hint="default" w:ascii="Times New Roman" w:hAnsi="Times New Roman" w:eastAsia="仿宋_GB2312" w:cs="Times New Roman"/>
          <w:color w:val="auto"/>
          <w:sz w:val="32"/>
          <w:szCs w:val="32"/>
          <w:highlight w:val="none"/>
          <w:u w:val="none"/>
          <w:lang w:val="en-US" w:eastAsia="zh-CN"/>
        </w:rPr>
        <w:t>常态化摸排我市旅游行业人才缺口，对接了解皖南地区旅游行业企业人才需求，加强业界合作交流，积极推动和参与区域人才交流合作，探索建立全国旅游行业人才信息库和人才信息网络，收集、整理、储存和发布人才供求信息，逐步构建专业化、信息化、国际化、产业化、一体化的旅游人才综合服务体系。加快建设高端猎头服务网络，弥补皖南地区旅游产业战略性人才、高技能人才和复合型人才紧缺短板，力争成为皖南地区旅游行业猎聘龙头。打造旅游人才交流平台，每年举办一期辐射皖南地区的大型专项岗位对接活动，每个区县依托市场各谋划一个专项活动，力争打造一系列有影响力的大型展会、创新创业活动，打响安徽皖南旅游人才市场品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9</w:t>
      </w:r>
      <w:r>
        <w:rPr>
          <w:rFonts w:hint="default" w:ascii="Times New Roman" w:hAnsi="Times New Roman" w:cs="Times New Roman"/>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探索建立人才培育基地。</w:t>
      </w:r>
      <w:r>
        <w:rPr>
          <w:rFonts w:hint="default" w:ascii="Times New Roman" w:hAnsi="Times New Roman" w:eastAsia="仿宋_GB2312" w:cs="Times New Roman"/>
          <w:color w:val="auto"/>
          <w:sz w:val="32"/>
          <w:szCs w:val="32"/>
          <w:highlight w:val="none"/>
          <w:u w:val="none"/>
          <w:lang w:val="en-US" w:eastAsia="zh-CN"/>
        </w:rPr>
        <w:t>统筹运用政府部门、企业及高校创新高技能人才培养模式，制定旅游人才素质引领提升计划，高质量服务旅游行业等各类人才素质能力提升，引领人才长远发展。创新“协会+企业”人才培养模式，利用丰富的旅游人才资源打造立足当地、辐射皖南区域的旅游人才培训示范平台，助力黄山市旅游人才培训工作质量提升。依托黄山人才之家等服务阵地，积极承办皖南地区旅游人才技术交流大会、旅游人才资源高峰论坛、皖南旅游“专家行”等系列重大人才活动，打造“线上智慧平台+线下综合市场+人才服务专家”特色旅游人才市场服务体系，形成线上线下、协同服务的工作闭环。</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10</w:t>
      </w:r>
      <w:r>
        <w:rPr>
          <w:rFonts w:hint="default" w:ascii="Times New Roman" w:hAnsi="Times New Roman" w:cs="Times New Roman"/>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大力拓展各类附加服务。</w:t>
      </w:r>
      <w:r>
        <w:rPr>
          <w:rFonts w:hint="default" w:ascii="Times New Roman" w:hAnsi="Times New Roman" w:eastAsia="仿宋_GB2312" w:cs="Times New Roman"/>
          <w:b w:val="0"/>
          <w:bCs w:val="0"/>
          <w:color w:val="auto"/>
          <w:sz w:val="32"/>
          <w:szCs w:val="32"/>
          <w:highlight w:val="none"/>
          <w:lang w:val="en-US" w:eastAsia="zh-CN"/>
        </w:rPr>
        <w:t>重点围绕旅游产业需求，通过旅游产业从业人员培养、重点旅游产业精准服务、高层次人才引进、蓝领人才职业能力培训、旅游业创新创业人才服务，构筑集“产业集聚、品牌集散、协同创新、企业孵化、职业培训”等功能于一体的旅游产业联盟，不以空间为限制，通过整体旅游产业情况展示、特色案例现场观摩等形式，建成旅游产业人力资源服务的引领者、数字化的示范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四、组织保障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（一）加强组织领导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由市委人才办、市人力资源社会保障局、市文化和旅游局牵头，相关职能部门密切配合联动，共同推进安徽皖南旅游人才市场建设，对发展过程中的重大政策、重要任务和突出问题及时研究解决，形成工作合力。在安徽皖南旅游人才市场建成一定规模、取得一定影响力后，适时成立安徽皖南旅游人才市场工作专班，进一步完善相关工作机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（二）明确扶持政策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对入驻市场的人力资源服务机构和相关从业人员，可按规定享受税费减免、一次性创业补贴、创业担保贷款及贴息、迎客松英才计划等政策。贯彻落实省、市促进人力资源服务业高质量发展若干政策措施，探索制定</w:t>
      </w:r>
      <w:r>
        <w:rPr>
          <w:rFonts w:hint="default" w:ascii="Times New Roman" w:hAnsi="Times New Roman" w:eastAsia="仿宋_GB2312" w:cs="Times New Roman"/>
          <w:color w:val="auto"/>
          <w:sz w:val="32"/>
          <w:szCs w:val="32"/>
          <w:highlight w:val="none"/>
          <w:u w:val="none"/>
          <w:lang w:val="en-US" w:eastAsia="zh-CN"/>
        </w:rPr>
        <w:fldChar w:fldCharType="begin"/>
      </w:r>
      <w:r>
        <w:rPr>
          <w:rFonts w:hint="default" w:ascii="Times New Roman" w:hAnsi="Times New Roman" w:eastAsia="仿宋_GB2312" w:cs="Times New Roman"/>
          <w:color w:val="auto"/>
          <w:sz w:val="32"/>
          <w:szCs w:val="32"/>
          <w:highlight w:val="none"/>
          <w:u w:val="none"/>
          <w:lang w:val="en-US" w:eastAsia="zh-CN"/>
        </w:rPr>
        <w:instrText xml:space="preserve"> HYPERLINK "javascript:openWindow('%E4%BF%83%E8%BF%9B%E8%BD%AF%E4%BB%B6%E4%BA%A7%E4%B8%9A%E5%8F%91%E5%B1%95%E4%B8%93%E9%A1%B9%E8%B5%84%E9%87%91%E7%AE%A1%E7%90%86%E5%8A%9E%E6%B3%95%EF%BC%88%E5%BE%81%E6%B1%82%E6%84%8F%E8%A7%81%E7%A8%BF%EF%BC%89%E3%80%81%E8%BD%AF%E4%BB%B6%E4%BA%A7%E4%B8%9A%E5%9B%AD%E5%B7%A5%E4%BD%9C%E8%A6%81%E7%82%B9%EF%BC%88%E5%BE%81%E6%B1%82%E6%84%8F%E8%A7%81%E7%A8%BF%EF%BC%89','oa9/archive/forms/wdframe/wd25workflowframe?tabparam=011&amp;dengjiUrl=wd25workflow_stywjlbq&amp;banwenUrl=wd25workflow_stywjlbq&amp;ProcessVersionInstanceGuid=68ea518d-bb4c-4317-98b9-37fc8d664c4f&amp;WorkItemGuid=8abecfb9-944a-41ba-b701-3529220618f4&amp;urlType=default');" \o "促进软件产业发展专项资金管理办法（征求意见稿）、软件产业园工作要点（征求意见稿）" </w:instrText>
      </w:r>
      <w:r>
        <w:rPr>
          <w:rFonts w:hint="default" w:ascii="Times New Roman" w:hAnsi="Times New Roman" w:eastAsia="仿宋_GB2312" w:cs="Times New Roman"/>
          <w:color w:val="auto"/>
          <w:sz w:val="32"/>
          <w:szCs w:val="32"/>
          <w:highlight w:val="none"/>
          <w:u w:val="none"/>
          <w:lang w:val="en-US" w:eastAsia="zh-CN"/>
        </w:rPr>
        <w:fldChar w:fldCharType="separate"/>
      </w:r>
      <w:r>
        <w:rPr>
          <w:rFonts w:hint="default" w:ascii="Times New Roman" w:hAnsi="Times New Roman" w:eastAsia="仿宋_GB2312" w:cs="Times New Roman"/>
          <w:color w:val="auto"/>
          <w:sz w:val="32"/>
          <w:szCs w:val="32"/>
          <w:highlight w:val="none"/>
          <w:u w:val="none"/>
          <w:lang w:val="en-US" w:eastAsia="zh-CN"/>
        </w:rPr>
        <w:t>安徽皖南旅游人才市场管理办法，</w:t>
      </w:r>
      <w:r>
        <w:rPr>
          <w:rFonts w:hint="default" w:ascii="Times New Roman" w:hAnsi="Times New Roman" w:eastAsia="仿宋_GB2312" w:cs="Times New Roman"/>
          <w:color w:val="auto"/>
          <w:sz w:val="32"/>
          <w:szCs w:val="32"/>
          <w:highlight w:val="none"/>
          <w:u w:val="none"/>
          <w:lang w:val="en-US" w:eastAsia="zh-CN"/>
        </w:rPr>
        <w:fldChar w:fldCharType="end"/>
      </w:r>
      <w:r>
        <w:rPr>
          <w:rFonts w:hint="default" w:ascii="Times New Roman" w:hAnsi="Times New Roman" w:eastAsia="仿宋_GB2312" w:cs="Times New Roman"/>
          <w:color w:val="auto"/>
          <w:sz w:val="32"/>
          <w:szCs w:val="32"/>
          <w:highlight w:val="none"/>
          <w:u w:val="none"/>
          <w:lang w:val="en-US" w:eastAsia="zh-CN"/>
        </w:rPr>
        <w:t>明确政策兑现实施细则，优化政策落实机制，促进安徽皖南旅游人才市场全面拓展。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（三）注重宣传引导</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借助各类媒体加大宣传，加强安徽皖南片区城市旅游人才交流与联动。强化典型引领，重点推广各级园区、行业协会及机构在黄山经济发展、人才引进培育、就业创业等方面的突出贡献和经验做法，努力营造全社会关心支持旅游产业和人力资源服务业发展的浓厚氛围。</w:t>
      </w:r>
    </w:p>
    <w:p>
      <w:pPr>
        <w:overflowPunct w:val="0"/>
        <w:autoSpaceDE w:val="0"/>
        <w:autoSpaceDN w:val="0"/>
        <w:adjustRightInd w:val="0"/>
        <w:snapToGrid w:val="0"/>
        <w:spacing w:line="560" w:lineRule="exact"/>
        <w:jc w:val="left"/>
        <w:rPr>
          <w:rFonts w:hint="default" w:ascii="Times New Roman" w:hAnsi="Times New Roman" w:eastAsia="仿宋_GB2312" w:cs="Times New Roman"/>
          <w:snapToGrid w:val="0"/>
          <w:kern w:val="0"/>
          <w:sz w:val="32"/>
          <w:szCs w:val="32"/>
        </w:rPr>
      </w:pPr>
    </w:p>
    <w:tbl>
      <w:tblPr>
        <w:tblStyle w:val="7"/>
        <w:tblpPr w:leftFromText="180" w:rightFromText="180" w:vertAnchor="text" w:horzAnchor="page" w:tblpX="1609" w:tblpY="7107"/>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20" w:type="dxa"/>
            <w:tcBorders>
              <w:left w:val="nil"/>
              <w:right w:val="nil"/>
            </w:tcBorders>
            <w:noWrap w:val="0"/>
            <w:vAlign w:val="top"/>
          </w:tcPr>
          <w:p>
            <w:pPr>
              <w:keepNext w:val="0"/>
              <w:keepLines w:val="0"/>
              <w:pageBreakBefore w:val="0"/>
              <w:widowControl w:val="0"/>
              <w:tabs>
                <w:tab w:val="left" w:pos="4480"/>
              </w:tabs>
              <w:kinsoku/>
              <w:wordWrap/>
              <w:overflowPunct/>
              <w:topLinePunct w:val="0"/>
              <w:autoSpaceDE/>
              <w:autoSpaceDN/>
              <w:bidi w:val="0"/>
              <w:spacing w:line="560" w:lineRule="exact"/>
              <w:ind w:right="-163" w:rightChars="-51" w:firstLine="176" w:firstLineChars="63"/>
              <w:textAlignment w:val="auto"/>
              <w:rPr>
                <w:rFonts w:hint="default" w:ascii="Times New Roman" w:hAnsi="Times New Roman" w:cs="Times New Roman"/>
              </w:rPr>
            </w:pPr>
            <w:r>
              <w:rPr>
                <w:rFonts w:hint="default" w:ascii="Times New Roman" w:hAnsi="Times New Roman" w:eastAsia="仿宋_GB2312" w:cs="Times New Roman"/>
                <w:sz w:val="28"/>
                <w:szCs w:val="28"/>
              </w:rPr>
              <w:t xml:space="preserve">黄山市就业工作领导小组办公室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cs="Times New Roman"/>
                <w:sz w:val="28"/>
                <w:szCs w:val="28"/>
                <w:lang w:eastAsia="zh-CN"/>
              </w:rPr>
              <w:t>202</w:t>
            </w:r>
            <w:r>
              <w:rPr>
                <w:rFonts w:hint="default" w:ascii="Times New Roman" w:hAnsi="Times New Roman"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cs="Times New Roman"/>
                <w:sz w:val="28"/>
                <w:szCs w:val="28"/>
                <w:lang w:val="en-US" w:eastAsia="zh-CN"/>
              </w:rPr>
              <w:t>13</w:t>
            </w:r>
            <w:r>
              <w:rPr>
                <w:rFonts w:hint="default" w:ascii="Times New Roman" w:hAnsi="Times New Roman" w:eastAsia="仿宋_GB2312" w:cs="Times New Roman"/>
                <w:sz w:val="28"/>
                <w:szCs w:val="28"/>
              </w:rPr>
              <w:t>日印发</w:t>
            </w:r>
          </w:p>
        </w:tc>
      </w:tr>
    </w:tbl>
    <w:p>
      <w:pPr>
        <w:pStyle w:val="2"/>
        <w:keepNext w:val="0"/>
        <w:keepLines w:val="0"/>
        <w:pageBreakBefore w:val="0"/>
        <w:widowControl w:val="0"/>
        <w:kinsoku/>
        <w:wordWrap/>
        <w:overflowPunct/>
        <w:topLinePunct w:val="0"/>
        <w:autoSpaceDE w:val="0"/>
        <w:autoSpaceDN/>
        <w:bidi w:val="0"/>
        <w:adjustRightInd w:val="0"/>
        <w:snapToGrid w:val="0"/>
        <w:spacing w:after="0" w:line="540" w:lineRule="exact"/>
        <w:ind w:right="0" w:rightChars="0" w:firstLine="1600" w:firstLineChars="500"/>
        <w:textAlignment w:val="auto"/>
        <w:rPr>
          <w:rFonts w:hint="default" w:ascii="Times New Roman" w:hAnsi="Times New Roman" w:eastAsia="仿宋_GB2312" w:cs="Times New Roman"/>
          <w:color w:val="000000"/>
          <w:kern w:val="21"/>
          <w:szCs w:val="32"/>
          <w:lang w:val="en-US" w:eastAsia="zh-CN"/>
        </w:rPr>
      </w:pPr>
    </w:p>
    <w:bookmarkEnd w:id="0"/>
    <w:sectPr>
      <w:headerReference r:id="rId4" w:type="default"/>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经典魏碑简">
    <w:panose1 w:val="02010609000101010101"/>
    <w:charset w:val="86"/>
    <w:family w:val="auto"/>
    <w:pitch w:val="default"/>
    <w:sig w:usb0="A1007AEF" w:usb1="F9DF7CFB" w:usb2="0000001E" w:usb3="00000000" w:csb0="20040000"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60288;mso-width-relative:page;mso-height-relative:page;" filled="f" stroked="f" coordsize="21600,21600" o:gfxdata="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cEkeO1gAAAAkBAAAPAAAAAAAAAAEAIAAAACIAAABkcnMvZG93bnJldi54bWxQ&#10;SwECFAAUAAAACACHTuJAMDJ3Ut0CAAAkBgAADgAAAAAAAAABACAAAAAlAQAAZHJzL2Uyb0RvYy54&#10;bWxQSwUGAAAAAAYABgBZAQAAdAY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TM3NTE1YWVmMTE3MGE1MDc2MzNiNTA4NGViZGEifQ=="/>
  </w:docVars>
  <w:rsids>
    <w:rsidRoot w:val="75EA7EA3"/>
    <w:rsid w:val="04021749"/>
    <w:rsid w:val="07D77C68"/>
    <w:rsid w:val="082257FE"/>
    <w:rsid w:val="097F56A9"/>
    <w:rsid w:val="09B63A9B"/>
    <w:rsid w:val="0A873A82"/>
    <w:rsid w:val="0B47036C"/>
    <w:rsid w:val="11C40985"/>
    <w:rsid w:val="127D2F15"/>
    <w:rsid w:val="173E563C"/>
    <w:rsid w:val="1817095A"/>
    <w:rsid w:val="1A825926"/>
    <w:rsid w:val="1B297B36"/>
    <w:rsid w:val="1C311B1C"/>
    <w:rsid w:val="1CF97F13"/>
    <w:rsid w:val="224B1F6A"/>
    <w:rsid w:val="23E77D4D"/>
    <w:rsid w:val="24A531C6"/>
    <w:rsid w:val="24D657F6"/>
    <w:rsid w:val="268842A2"/>
    <w:rsid w:val="272916F4"/>
    <w:rsid w:val="29EE2B1E"/>
    <w:rsid w:val="2D574DFE"/>
    <w:rsid w:val="2FAA32E8"/>
    <w:rsid w:val="31712D35"/>
    <w:rsid w:val="32016DBC"/>
    <w:rsid w:val="34391950"/>
    <w:rsid w:val="367B0BA5"/>
    <w:rsid w:val="38AB7139"/>
    <w:rsid w:val="3D21086E"/>
    <w:rsid w:val="3E082171"/>
    <w:rsid w:val="3FFD6C8D"/>
    <w:rsid w:val="43044B55"/>
    <w:rsid w:val="46ED264C"/>
    <w:rsid w:val="47AF2F63"/>
    <w:rsid w:val="48B10C96"/>
    <w:rsid w:val="48D829ED"/>
    <w:rsid w:val="496A25F3"/>
    <w:rsid w:val="49DF4F36"/>
    <w:rsid w:val="4A0A6AD0"/>
    <w:rsid w:val="4A900321"/>
    <w:rsid w:val="4AF72F40"/>
    <w:rsid w:val="4B147FFE"/>
    <w:rsid w:val="4BFA179B"/>
    <w:rsid w:val="4C1800C1"/>
    <w:rsid w:val="4C4D5D03"/>
    <w:rsid w:val="533B3037"/>
    <w:rsid w:val="59271254"/>
    <w:rsid w:val="59285535"/>
    <w:rsid w:val="599F3186"/>
    <w:rsid w:val="5B3D3F8A"/>
    <w:rsid w:val="5C225659"/>
    <w:rsid w:val="5D707FBD"/>
    <w:rsid w:val="5FA268FE"/>
    <w:rsid w:val="63E9260E"/>
    <w:rsid w:val="6C186093"/>
    <w:rsid w:val="6DDF0123"/>
    <w:rsid w:val="6DE94D4C"/>
    <w:rsid w:val="6F19464C"/>
    <w:rsid w:val="7014131E"/>
    <w:rsid w:val="73C216F3"/>
    <w:rsid w:val="745F66ED"/>
    <w:rsid w:val="74A52A05"/>
    <w:rsid w:val="75EA7EA3"/>
    <w:rsid w:val="784F00C4"/>
    <w:rsid w:val="78C42189"/>
    <w:rsid w:val="78C447AC"/>
    <w:rsid w:val="7B2E0F9E"/>
    <w:rsid w:val="7C7B6686"/>
    <w:rsid w:val="7ECA1338"/>
    <w:rsid w:val="7F73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table" w:customStyle="1" w:styleId="13">
    <w:name w:val="网格型1"/>
    <w:basedOn w:val="14"/>
    <w:qFormat/>
    <w:uiPriority w:val="0"/>
    <w:pPr>
      <w:widowControl w:val="0"/>
      <w:jc w:val="both"/>
    </w:pPr>
  </w:style>
  <w:style w:type="table" w:customStyle="1" w:styleId="14">
    <w:name w:val="普通表格1"/>
    <w:semiHidden/>
    <w:qFormat/>
    <w:uiPriority w:val="0"/>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3660</Words>
  <Characters>3706</Characters>
  <Lines>0</Lines>
  <Paragraphs>0</Paragraphs>
  <TotalTime>1</TotalTime>
  <ScaleCrop>false</ScaleCrop>
  <LinksUpToDate>false</LinksUpToDate>
  <CharactersWithSpaces>3721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2022-03-25T08:34:00Z</dcterms:created>
  <dc:creator>云无相</dc:creator>
  <cp:lastModifiedBy>十口王木木</cp:lastModifiedBy>
  <cp:lastPrinted>2022-04-11T06:47:00Z</cp:lastPrinted>
  <dcterms:modified xsi:type="dcterms:W3CDTF">2023-09-13T07:06:04Z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505A514730CC46A69B75A1D857CADA99_13</vt:lpwstr>
  </property>
</Properties>
</file>